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51B56" w14:textId="77777777" w:rsidR="00686180" w:rsidRDefault="00411C50" w:rsidP="00686180">
      <w:pPr>
        <w:tabs>
          <w:tab w:val="left" w:pos="6036"/>
        </w:tabs>
        <w:rPr>
          <w:rFonts w:asciiTheme="majorHAnsi" w:hAnsiTheme="majorHAnsi"/>
          <w:b/>
          <w:color w:val="7030A0"/>
          <w:sz w:val="36"/>
        </w:rPr>
      </w:pPr>
      <w:r>
        <w:rPr>
          <w:rFonts w:asciiTheme="majorHAnsi" w:hAnsiTheme="majorHAnsi"/>
          <w:b/>
          <w:color w:val="7030A0"/>
          <w:sz w:val="36"/>
        </w:rPr>
        <w:tab/>
      </w:r>
    </w:p>
    <w:p w14:paraId="2D065336" w14:textId="77777777" w:rsidR="00AE30D1" w:rsidRPr="00F51648" w:rsidRDefault="00AE30D1" w:rsidP="00686180">
      <w:pPr>
        <w:tabs>
          <w:tab w:val="left" w:pos="6036"/>
        </w:tabs>
        <w:jc w:val="center"/>
        <w:rPr>
          <w:rFonts w:ascii="Century Gothic" w:hAnsi="Century Gothic" w:cs="Arial"/>
          <w:b/>
          <w:sz w:val="36"/>
          <w:szCs w:val="36"/>
        </w:rPr>
      </w:pPr>
      <w:r w:rsidRPr="00F51648">
        <w:rPr>
          <w:rFonts w:ascii="Century Gothic" w:hAnsi="Century Gothic" w:cs="Arial"/>
          <w:b/>
          <w:sz w:val="36"/>
          <w:szCs w:val="36"/>
        </w:rPr>
        <w:t>The Role of a Member in the Education Learning Trust</w:t>
      </w:r>
    </w:p>
    <w:p w14:paraId="66B31575" w14:textId="77777777" w:rsidR="00AE30D1" w:rsidRPr="009D119D" w:rsidRDefault="00AE30D1" w:rsidP="0068618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7F4B1758" w14:textId="77777777" w:rsidR="00AE30D1" w:rsidRPr="009D119D" w:rsidRDefault="00AE30D1" w:rsidP="00686180">
      <w:pPr>
        <w:jc w:val="both"/>
        <w:rPr>
          <w:rFonts w:ascii="Century Gothic" w:hAnsi="Century Gothic" w:cs="Arial"/>
          <w:sz w:val="20"/>
          <w:szCs w:val="20"/>
        </w:rPr>
      </w:pPr>
      <w:r w:rsidRPr="009D119D">
        <w:rPr>
          <w:rFonts w:ascii="Century Gothic" w:hAnsi="Century Gothic" w:cs="Arial"/>
          <w:sz w:val="20"/>
          <w:szCs w:val="20"/>
        </w:rPr>
        <w:t xml:space="preserve">As a charitable company limited by guarantee, the </w:t>
      </w:r>
      <w:r w:rsidR="00644F5A" w:rsidRPr="009D119D">
        <w:rPr>
          <w:rFonts w:ascii="Century Gothic" w:hAnsi="Century Gothic" w:cs="Arial"/>
          <w:sz w:val="20"/>
          <w:szCs w:val="20"/>
        </w:rPr>
        <w:t>Trust</w:t>
      </w:r>
      <w:r w:rsidRPr="009D119D">
        <w:rPr>
          <w:rFonts w:ascii="Century Gothic" w:hAnsi="Century Gothic" w:cs="Arial"/>
          <w:sz w:val="20"/>
          <w:szCs w:val="20"/>
        </w:rPr>
        <w:t xml:space="preserve"> has Members who have a similar role to the shareholders in a company limited by shares. Most notably they:</w:t>
      </w:r>
    </w:p>
    <w:p w14:paraId="7ECB961B" w14:textId="77777777" w:rsidR="00AE30D1" w:rsidRPr="009D119D" w:rsidRDefault="00AE30D1" w:rsidP="00686180">
      <w:pPr>
        <w:jc w:val="both"/>
        <w:rPr>
          <w:rFonts w:ascii="Century Gothic" w:hAnsi="Century Gothic" w:cs="Arial"/>
          <w:sz w:val="20"/>
          <w:szCs w:val="20"/>
        </w:rPr>
      </w:pPr>
    </w:p>
    <w:p w14:paraId="634A95D9" w14:textId="671395C4" w:rsidR="00AE30D1" w:rsidRPr="009D119D" w:rsidRDefault="006E770C" w:rsidP="00686180">
      <w:pPr>
        <w:pStyle w:val="ListParagraph"/>
        <w:numPr>
          <w:ilvl w:val="0"/>
          <w:numId w:val="3"/>
        </w:numPr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are signatories to the Articles of A</w:t>
      </w:r>
      <w:r w:rsidR="00AE30D1" w:rsidRPr="009D119D">
        <w:rPr>
          <w:rFonts w:ascii="Century Gothic" w:hAnsi="Century Gothic" w:cs="Arial"/>
          <w:sz w:val="20"/>
          <w:szCs w:val="20"/>
        </w:rPr>
        <w:t xml:space="preserve">ssociation which includes definition of the </w:t>
      </w:r>
      <w:r w:rsidR="00644F5A" w:rsidRPr="009D119D">
        <w:rPr>
          <w:rFonts w:ascii="Century Gothic" w:hAnsi="Century Gothic" w:cs="Arial"/>
          <w:sz w:val="20"/>
          <w:szCs w:val="20"/>
        </w:rPr>
        <w:t>Trust</w:t>
      </w:r>
      <w:r w:rsidR="00AE30D1" w:rsidRPr="009D119D">
        <w:rPr>
          <w:rFonts w:ascii="Century Gothic" w:hAnsi="Century Gothic" w:cs="Arial"/>
          <w:sz w:val="20"/>
          <w:szCs w:val="20"/>
        </w:rPr>
        <w:t>s’ charitable object and governance structure (where they are founding Members);</w:t>
      </w:r>
    </w:p>
    <w:p w14:paraId="3F639267" w14:textId="77777777" w:rsidR="00AE30D1" w:rsidRPr="009D119D" w:rsidRDefault="00AE30D1" w:rsidP="00686180">
      <w:pPr>
        <w:jc w:val="both"/>
        <w:rPr>
          <w:rFonts w:ascii="Century Gothic" w:hAnsi="Century Gothic" w:cs="Arial"/>
          <w:sz w:val="20"/>
          <w:szCs w:val="20"/>
        </w:rPr>
      </w:pPr>
    </w:p>
    <w:p w14:paraId="69F45AD3" w14:textId="1B977DA5" w:rsidR="00AE30D1" w:rsidRPr="009D119D" w:rsidRDefault="00AE30D1" w:rsidP="00686180">
      <w:pPr>
        <w:pStyle w:val="ListParagraph"/>
        <w:numPr>
          <w:ilvl w:val="0"/>
          <w:numId w:val="3"/>
        </w:numPr>
        <w:ind w:left="360"/>
        <w:jc w:val="both"/>
        <w:rPr>
          <w:rFonts w:ascii="Century Gothic" w:hAnsi="Century Gothic" w:cs="Arial"/>
          <w:sz w:val="20"/>
          <w:szCs w:val="20"/>
        </w:rPr>
      </w:pPr>
      <w:r w:rsidRPr="009D119D">
        <w:rPr>
          <w:rFonts w:ascii="Century Gothic" w:hAnsi="Century Gothic" w:cs="Arial"/>
          <w:sz w:val="20"/>
          <w:szCs w:val="20"/>
        </w:rPr>
        <w:t>may, by</w:t>
      </w:r>
      <w:r w:rsidR="006E770C">
        <w:rPr>
          <w:rFonts w:ascii="Century Gothic" w:hAnsi="Century Gothic" w:cs="Arial"/>
          <w:sz w:val="20"/>
          <w:szCs w:val="20"/>
        </w:rPr>
        <w:t xml:space="preserve"> special resolution, amend the Articles of A</w:t>
      </w:r>
      <w:r w:rsidRPr="009D119D">
        <w:rPr>
          <w:rFonts w:ascii="Century Gothic" w:hAnsi="Century Gothic" w:cs="Arial"/>
          <w:sz w:val="20"/>
          <w:szCs w:val="20"/>
        </w:rPr>
        <w:t xml:space="preserve">ssociation, subject to any restrictions created by the </w:t>
      </w:r>
      <w:r w:rsidR="00644F5A" w:rsidRPr="009D119D">
        <w:rPr>
          <w:rFonts w:ascii="Century Gothic" w:hAnsi="Century Gothic" w:cs="Arial"/>
          <w:sz w:val="20"/>
          <w:szCs w:val="20"/>
        </w:rPr>
        <w:t>Trust</w:t>
      </w:r>
      <w:r w:rsidRPr="009D119D">
        <w:rPr>
          <w:rFonts w:ascii="Century Gothic" w:hAnsi="Century Gothic" w:cs="Arial"/>
          <w:sz w:val="20"/>
          <w:szCs w:val="20"/>
        </w:rPr>
        <w:t>’s funding agreement or charity law;</w:t>
      </w:r>
    </w:p>
    <w:p w14:paraId="5E4D2F96" w14:textId="77777777" w:rsidR="00AE30D1" w:rsidRPr="009D119D" w:rsidRDefault="00AE30D1" w:rsidP="00686180">
      <w:pPr>
        <w:ind w:left="-284"/>
        <w:jc w:val="both"/>
        <w:rPr>
          <w:rFonts w:ascii="Century Gothic" w:hAnsi="Century Gothic" w:cs="Arial"/>
          <w:sz w:val="20"/>
          <w:szCs w:val="20"/>
        </w:rPr>
      </w:pPr>
    </w:p>
    <w:p w14:paraId="52276CA6" w14:textId="77777777" w:rsidR="00AE30D1" w:rsidRPr="009D119D" w:rsidRDefault="00AE30D1" w:rsidP="00686180">
      <w:pPr>
        <w:pStyle w:val="ListParagraph"/>
        <w:numPr>
          <w:ilvl w:val="0"/>
          <w:numId w:val="3"/>
        </w:numPr>
        <w:ind w:left="360"/>
        <w:jc w:val="both"/>
        <w:rPr>
          <w:rFonts w:ascii="Century Gothic" w:hAnsi="Century Gothic" w:cs="Arial"/>
          <w:sz w:val="20"/>
          <w:szCs w:val="20"/>
        </w:rPr>
      </w:pPr>
      <w:r w:rsidRPr="009D119D">
        <w:rPr>
          <w:rFonts w:ascii="Century Gothic" w:hAnsi="Century Gothic" w:cs="Arial"/>
          <w:sz w:val="20"/>
          <w:szCs w:val="20"/>
        </w:rPr>
        <w:t>may, by special resolution (which requires 75% rather than a simple majority of Members to agree) appoint new Members or remove existing Members other than, where there is one, the foundation/ sponsor body and any Members it has appointed;</w:t>
      </w:r>
    </w:p>
    <w:p w14:paraId="4D80105E" w14:textId="77777777" w:rsidR="00AE30D1" w:rsidRPr="009D119D" w:rsidRDefault="00AE30D1" w:rsidP="00686180">
      <w:pPr>
        <w:pStyle w:val="ListParagraph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4500CDD9" w14:textId="37A31FF3" w:rsidR="00AE30D1" w:rsidRPr="009D119D" w:rsidRDefault="009104BC" w:rsidP="00686180">
      <w:pPr>
        <w:pStyle w:val="ListParagraph"/>
        <w:numPr>
          <w:ilvl w:val="0"/>
          <w:numId w:val="3"/>
        </w:numPr>
        <w:ind w:left="360"/>
        <w:jc w:val="both"/>
        <w:rPr>
          <w:rFonts w:ascii="Century Gothic" w:hAnsi="Century Gothic" w:cs="Arial"/>
          <w:sz w:val="20"/>
          <w:szCs w:val="20"/>
        </w:rPr>
      </w:pPr>
      <w:r w:rsidRPr="009D119D">
        <w:rPr>
          <w:rFonts w:ascii="Century Gothic" w:hAnsi="Century Gothic" w:cs="Arial"/>
          <w:sz w:val="20"/>
          <w:szCs w:val="20"/>
        </w:rPr>
        <w:t>have power to appoint up to nine</w:t>
      </w:r>
      <w:r w:rsidR="00AE30D1" w:rsidRPr="009D119D">
        <w:rPr>
          <w:rFonts w:ascii="Century Gothic" w:hAnsi="Century Gothic" w:cs="Arial"/>
          <w:sz w:val="20"/>
          <w:szCs w:val="20"/>
        </w:rPr>
        <w:t xml:space="preserve"> Trustees as set out in the </w:t>
      </w:r>
      <w:r w:rsidR="00644F5A" w:rsidRPr="009D119D">
        <w:rPr>
          <w:rFonts w:ascii="Century Gothic" w:hAnsi="Century Gothic" w:cs="Arial"/>
          <w:sz w:val="20"/>
          <w:szCs w:val="20"/>
        </w:rPr>
        <w:t>Trust</w:t>
      </w:r>
      <w:r w:rsidR="006E770C">
        <w:rPr>
          <w:rFonts w:ascii="Century Gothic" w:hAnsi="Century Gothic" w:cs="Arial"/>
          <w:sz w:val="20"/>
          <w:szCs w:val="20"/>
        </w:rPr>
        <w:t>’s Articles of A</w:t>
      </w:r>
      <w:r w:rsidR="00AE30D1" w:rsidRPr="009D119D">
        <w:rPr>
          <w:rFonts w:ascii="Century Gothic" w:hAnsi="Century Gothic" w:cs="Arial"/>
          <w:sz w:val="20"/>
          <w:szCs w:val="20"/>
        </w:rPr>
        <w:t>ssociation, and have power under the Companies Act to remove any or all serving Trustees;</w:t>
      </w:r>
    </w:p>
    <w:p w14:paraId="4AE5E6A8" w14:textId="77777777" w:rsidR="00AE30D1" w:rsidRPr="009D119D" w:rsidRDefault="00AE30D1" w:rsidP="00686180">
      <w:pPr>
        <w:pStyle w:val="ListParagraph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70CE994A" w14:textId="08B22AD6" w:rsidR="00AE30D1" w:rsidRPr="009D119D" w:rsidRDefault="00AE30D1" w:rsidP="00686180">
      <w:pPr>
        <w:pStyle w:val="ListParagraph"/>
        <w:numPr>
          <w:ilvl w:val="0"/>
          <w:numId w:val="3"/>
        </w:numPr>
        <w:ind w:left="360"/>
        <w:jc w:val="both"/>
        <w:rPr>
          <w:rFonts w:ascii="Century Gothic" w:hAnsi="Century Gothic" w:cs="Arial"/>
          <w:sz w:val="20"/>
          <w:szCs w:val="20"/>
        </w:rPr>
      </w:pPr>
      <w:r w:rsidRPr="009D119D">
        <w:rPr>
          <w:rFonts w:ascii="Century Gothic" w:hAnsi="Century Gothic" w:cs="Arial"/>
          <w:sz w:val="20"/>
          <w:szCs w:val="20"/>
        </w:rPr>
        <w:t>may</w:t>
      </w:r>
      <w:r w:rsidR="006E770C">
        <w:rPr>
          <w:rFonts w:ascii="Century Gothic" w:hAnsi="Century Gothic" w:cs="Arial"/>
          <w:sz w:val="20"/>
          <w:szCs w:val="20"/>
        </w:rPr>
        <w:t>,</w:t>
      </w:r>
      <w:r w:rsidRPr="009D119D">
        <w:rPr>
          <w:rFonts w:ascii="Century Gothic" w:hAnsi="Century Gothic" w:cs="Arial"/>
          <w:sz w:val="20"/>
          <w:szCs w:val="20"/>
        </w:rPr>
        <w:t xml:space="preserve"> by special resolution</w:t>
      </w:r>
      <w:r w:rsidR="006E770C">
        <w:rPr>
          <w:rFonts w:ascii="Century Gothic" w:hAnsi="Century Gothic" w:cs="Arial"/>
          <w:sz w:val="20"/>
          <w:szCs w:val="20"/>
        </w:rPr>
        <w:t>,</w:t>
      </w:r>
      <w:r w:rsidRPr="009D119D">
        <w:rPr>
          <w:rFonts w:ascii="Century Gothic" w:hAnsi="Century Gothic" w:cs="Arial"/>
          <w:sz w:val="20"/>
          <w:szCs w:val="20"/>
        </w:rPr>
        <w:t xml:space="preserve"> issue direction to the Trustees to take a specific action;</w:t>
      </w:r>
    </w:p>
    <w:p w14:paraId="40DB990E" w14:textId="77777777" w:rsidR="00AE30D1" w:rsidRPr="009D119D" w:rsidRDefault="00AE30D1" w:rsidP="00686180">
      <w:pPr>
        <w:pStyle w:val="ListParagraph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438B7A96" w14:textId="77777777" w:rsidR="00AE30D1" w:rsidRPr="009D119D" w:rsidRDefault="00AE30D1" w:rsidP="00686180">
      <w:pPr>
        <w:pStyle w:val="ListParagraph"/>
        <w:numPr>
          <w:ilvl w:val="0"/>
          <w:numId w:val="3"/>
        </w:numPr>
        <w:ind w:left="360"/>
        <w:jc w:val="both"/>
        <w:rPr>
          <w:rFonts w:ascii="Century Gothic" w:hAnsi="Century Gothic" w:cs="Arial"/>
          <w:sz w:val="20"/>
          <w:szCs w:val="20"/>
        </w:rPr>
      </w:pPr>
      <w:r w:rsidRPr="009D119D">
        <w:rPr>
          <w:rFonts w:ascii="Century Gothic" w:hAnsi="Century Gothic" w:cs="Arial"/>
          <w:sz w:val="20"/>
          <w:szCs w:val="20"/>
        </w:rPr>
        <w:lastRenderedPageBreak/>
        <w:t xml:space="preserve">appoint the </w:t>
      </w:r>
      <w:r w:rsidR="00644F5A" w:rsidRPr="009D119D">
        <w:rPr>
          <w:rFonts w:ascii="Century Gothic" w:hAnsi="Century Gothic" w:cs="Arial"/>
          <w:sz w:val="20"/>
          <w:szCs w:val="20"/>
        </w:rPr>
        <w:t>Trust</w:t>
      </w:r>
      <w:r w:rsidRPr="009D119D">
        <w:rPr>
          <w:rFonts w:ascii="Century Gothic" w:hAnsi="Century Gothic" w:cs="Arial"/>
          <w:sz w:val="20"/>
          <w:szCs w:val="20"/>
        </w:rPr>
        <w:t xml:space="preserve">’s auditors and receive the </w:t>
      </w:r>
      <w:r w:rsidR="00644F5A" w:rsidRPr="009D119D">
        <w:rPr>
          <w:rFonts w:ascii="Century Gothic" w:hAnsi="Century Gothic" w:cs="Arial"/>
          <w:sz w:val="20"/>
          <w:szCs w:val="20"/>
        </w:rPr>
        <w:t>Trust</w:t>
      </w:r>
      <w:r w:rsidRPr="009D119D">
        <w:rPr>
          <w:rFonts w:ascii="Century Gothic" w:hAnsi="Century Gothic" w:cs="Arial"/>
          <w:sz w:val="20"/>
          <w:szCs w:val="20"/>
        </w:rPr>
        <w:t>’s annual audited accounts; and</w:t>
      </w:r>
    </w:p>
    <w:p w14:paraId="58EAB7CA" w14:textId="77777777" w:rsidR="00AE30D1" w:rsidRPr="009D119D" w:rsidRDefault="00AE30D1" w:rsidP="00686180">
      <w:pPr>
        <w:pStyle w:val="ListParagraph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3F999E6B" w14:textId="77777777" w:rsidR="00AE30D1" w:rsidRPr="009D119D" w:rsidRDefault="00AE30D1" w:rsidP="00686180">
      <w:pPr>
        <w:pStyle w:val="ListParagraph"/>
        <w:numPr>
          <w:ilvl w:val="0"/>
          <w:numId w:val="3"/>
        </w:numPr>
        <w:ind w:left="360"/>
        <w:jc w:val="both"/>
        <w:rPr>
          <w:rFonts w:ascii="Century Gothic" w:hAnsi="Century Gothic" w:cs="Arial"/>
          <w:sz w:val="20"/>
          <w:szCs w:val="20"/>
        </w:rPr>
      </w:pPr>
      <w:r w:rsidRPr="009D119D">
        <w:rPr>
          <w:rFonts w:ascii="Century Gothic" w:hAnsi="Century Gothic" w:cs="Arial"/>
          <w:sz w:val="20"/>
          <w:szCs w:val="20"/>
        </w:rPr>
        <w:t xml:space="preserve">have power to change the name of the charitable company and ultimately, wind up the academy </w:t>
      </w:r>
      <w:r w:rsidR="00644F5A" w:rsidRPr="009D119D">
        <w:rPr>
          <w:rFonts w:ascii="Century Gothic" w:hAnsi="Century Gothic" w:cs="Arial"/>
          <w:sz w:val="20"/>
          <w:szCs w:val="20"/>
        </w:rPr>
        <w:t>Trust</w:t>
      </w:r>
      <w:r w:rsidRPr="009D119D">
        <w:rPr>
          <w:rFonts w:ascii="Century Gothic" w:hAnsi="Century Gothic" w:cs="Arial"/>
          <w:sz w:val="20"/>
          <w:szCs w:val="20"/>
        </w:rPr>
        <w:t>.</w:t>
      </w:r>
    </w:p>
    <w:p w14:paraId="035F4724" w14:textId="77777777" w:rsidR="00AE30D1" w:rsidRPr="009D119D" w:rsidRDefault="00AE30D1" w:rsidP="00686180">
      <w:pPr>
        <w:jc w:val="both"/>
        <w:rPr>
          <w:rFonts w:ascii="Century Gothic" w:hAnsi="Century Gothic" w:cs="Arial"/>
          <w:sz w:val="20"/>
          <w:szCs w:val="20"/>
        </w:rPr>
      </w:pPr>
    </w:p>
    <w:p w14:paraId="7938E280" w14:textId="77777777" w:rsidR="00AE30D1" w:rsidRPr="009D119D" w:rsidRDefault="00AE30D1" w:rsidP="00686180">
      <w:pPr>
        <w:jc w:val="both"/>
        <w:rPr>
          <w:rFonts w:ascii="Century Gothic" w:hAnsi="Century Gothic" w:cs="Arial"/>
          <w:sz w:val="20"/>
          <w:szCs w:val="20"/>
        </w:rPr>
      </w:pPr>
      <w:r w:rsidRPr="009D119D">
        <w:rPr>
          <w:rFonts w:ascii="Century Gothic" w:hAnsi="Century Gothic" w:cs="Arial"/>
          <w:sz w:val="20"/>
          <w:szCs w:val="20"/>
        </w:rPr>
        <w:t xml:space="preserve">Must meet at least once per year.  Members may instruct the </w:t>
      </w:r>
      <w:r w:rsidR="00644F5A" w:rsidRPr="009D119D">
        <w:rPr>
          <w:rFonts w:ascii="Century Gothic" w:hAnsi="Century Gothic" w:cs="Arial"/>
          <w:sz w:val="20"/>
          <w:szCs w:val="20"/>
        </w:rPr>
        <w:t>Trust</w:t>
      </w:r>
      <w:r w:rsidRPr="009D119D">
        <w:rPr>
          <w:rFonts w:ascii="Century Gothic" w:hAnsi="Century Gothic" w:cs="Arial"/>
          <w:sz w:val="20"/>
          <w:szCs w:val="20"/>
        </w:rPr>
        <w:t xml:space="preserve">ees to convene a general meeting at any point, at which </w:t>
      </w:r>
      <w:r w:rsidR="00644F5A" w:rsidRPr="009D119D">
        <w:rPr>
          <w:rFonts w:ascii="Century Gothic" w:hAnsi="Century Gothic" w:cs="Arial"/>
          <w:sz w:val="20"/>
          <w:szCs w:val="20"/>
        </w:rPr>
        <w:t>Trust</w:t>
      </w:r>
      <w:r w:rsidRPr="009D119D">
        <w:rPr>
          <w:rFonts w:ascii="Century Gothic" w:hAnsi="Century Gothic" w:cs="Arial"/>
          <w:sz w:val="20"/>
          <w:szCs w:val="20"/>
        </w:rPr>
        <w:t>ees may speak but not vote.</w:t>
      </w:r>
    </w:p>
    <w:p w14:paraId="16565212" w14:textId="77777777" w:rsidR="00AE30D1" w:rsidRPr="009D119D" w:rsidRDefault="00AE30D1" w:rsidP="00686180">
      <w:pPr>
        <w:jc w:val="both"/>
        <w:rPr>
          <w:rFonts w:ascii="Century Gothic" w:hAnsi="Century Gothic" w:cs="Arial"/>
          <w:sz w:val="20"/>
          <w:szCs w:val="20"/>
        </w:rPr>
      </w:pPr>
    </w:p>
    <w:p w14:paraId="089742E7" w14:textId="77777777" w:rsidR="00AE30D1" w:rsidRPr="009D119D" w:rsidRDefault="00AE30D1" w:rsidP="00686180">
      <w:pPr>
        <w:jc w:val="both"/>
        <w:rPr>
          <w:rFonts w:ascii="Century Gothic" w:hAnsi="Century Gothic" w:cs="Arial"/>
          <w:sz w:val="20"/>
          <w:szCs w:val="20"/>
        </w:rPr>
      </w:pPr>
      <w:r w:rsidRPr="009D119D">
        <w:rPr>
          <w:rFonts w:ascii="Century Gothic" w:hAnsi="Century Gothic" w:cs="Arial"/>
          <w:sz w:val="20"/>
          <w:szCs w:val="20"/>
        </w:rPr>
        <w:t xml:space="preserve">There must be at least three Members, although the preference is for the </w:t>
      </w:r>
      <w:r w:rsidR="00644F5A" w:rsidRPr="009D119D">
        <w:rPr>
          <w:rFonts w:ascii="Century Gothic" w:hAnsi="Century Gothic" w:cs="Arial"/>
          <w:sz w:val="20"/>
          <w:szCs w:val="20"/>
        </w:rPr>
        <w:t>Trust</w:t>
      </w:r>
      <w:r w:rsidRPr="009D119D">
        <w:rPr>
          <w:rFonts w:ascii="Century Gothic" w:hAnsi="Century Gothic" w:cs="Arial"/>
          <w:sz w:val="20"/>
          <w:szCs w:val="20"/>
        </w:rPr>
        <w:t xml:space="preserve"> to have at least five Members, as this:</w:t>
      </w:r>
    </w:p>
    <w:p w14:paraId="2DEE3A89" w14:textId="77777777" w:rsidR="00AE30D1" w:rsidRPr="009D119D" w:rsidRDefault="00AE30D1" w:rsidP="00686180">
      <w:pPr>
        <w:jc w:val="both"/>
        <w:rPr>
          <w:rFonts w:ascii="Century Gothic" w:hAnsi="Century Gothic" w:cs="Arial"/>
          <w:sz w:val="20"/>
          <w:szCs w:val="20"/>
        </w:rPr>
      </w:pPr>
    </w:p>
    <w:p w14:paraId="27487077" w14:textId="77777777" w:rsidR="00AE30D1" w:rsidRPr="009D119D" w:rsidRDefault="00AE30D1" w:rsidP="00686180">
      <w:pPr>
        <w:pStyle w:val="ListParagraph"/>
        <w:numPr>
          <w:ilvl w:val="0"/>
          <w:numId w:val="4"/>
        </w:numPr>
        <w:ind w:left="360"/>
        <w:jc w:val="both"/>
        <w:rPr>
          <w:rFonts w:ascii="Century Gothic" w:hAnsi="Century Gothic" w:cs="Arial"/>
          <w:sz w:val="20"/>
          <w:szCs w:val="20"/>
        </w:rPr>
      </w:pPr>
      <w:r w:rsidRPr="009D119D">
        <w:rPr>
          <w:rFonts w:ascii="Century Gothic" w:hAnsi="Century Gothic" w:cs="Arial"/>
          <w:sz w:val="20"/>
          <w:szCs w:val="20"/>
        </w:rPr>
        <w:t>provides for a more diverse range of perspectives to enable robust decision making and reduces the risks of concentrating power; and</w:t>
      </w:r>
    </w:p>
    <w:p w14:paraId="210F3EC7" w14:textId="77777777" w:rsidR="00AE30D1" w:rsidRPr="009D119D" w:rsidRDefault="00AE30D1" w:rsidP="00686180">
      <w:pPr>
        <w:jc w:val="both"/>
        <w:rPr>
          <w:rFonts w:ascii="Century Gothic" w:hAnsi="Century Gothic" w:cs="Arial"/>
          <w:sz w:val="20"/>
          <w:szCs w:val="20"/>
        </w:rPr>
      </w:pPr>
    </w:p>
    <w:p w14:paraId="60E81EF3" w14:textId="77777777" w:rsidR="00AE30D1" w:rsidRPr="009D119D" w:rsidRDefault="00AE30D1" w:rsidP="00686180">
      <w:pPr>
        <w:pStyle w:val="ListParagraph"/>
        <w:numPr>
          <w:ilvl w:val="0"/>
          <w:numId w:val="4"/>
        </w:numPr>
        <w:ind w:left="360"/>
        <w:jc w:val="both"/>
        <w:rPr>
          <w:rFonts w:ascii="Century Gothic" w:hAnsi="Century Gothic" w:cs="Arial"/>
          <w:sz w:val="20"/>
          <w:szCs w:val="20"/>
        </w:rPr>
      </w:pPr>
      <w:r w:rsidRPr="009D119D">
        <w:rPr>
          <w:rFonts w:ascii="Century Gothic" w:hAnsi="Century Gothic" w:cs="Arial"/>
          <w:sz w:val="20"/>
          <w:szCs w:val="20"/>
        </w:rPr>
        <w:t>ensures Members can take decisions via special resolution without requiring unanimity.</w:t>
      </w:r>
    </w:p>
    <w:p w14:paraId="43F83522" w14:textId="77777777" w:rsidR="00AE30D1" w:rsidRPr="009D119D" w:rsidRDefault="00AE30D1" w:rsidP="00686180">
      <w:pPr>
        <w:jc w:val="both"/>
        <w:rPr>
          <w:rFonts w:ascii="Century Gothic" w:hAnsi="Century Gothic" w:cs="Arial"/>
          <w:sz w:val="20"/>
          <w:szCs w:val="20"/>
        </w:rPr>
      </w:pPr>
    </w:p>
    <w:p w14:paraId="241B1F90" w14:textId="77777777" w:rsidR="00AE30D1" w:rsidRPr="009D119D" w:rsidRDefault="00AE30D1" w:rsidP="00686180">
      <w:pPr>
        <w:jc w:val="both"/>
        <w:rPr>
          <w:rFonts w:ascii="Century Gothic" w:hAnsi="Century Gothic" w:cs="Arial"/>
          <w:sz w:val="20"/>
          <w:szCs w:val="20"/>
        </w:rPr>
      </w:pPr>
      <w:r w:rsidRPr="009D119D">
        <w:rPr>
          <w:rFonts w:ascii="Century Gothic" w:hAnsi="Century Gothic" w:cs="Arial"/>
          <w:sz w:val="20"/>
          <w:szCs w:val="20"/>
        </w:rPr>
        <w:t xml:space="preserve">Employees of the </w:t>
      </w:r>
      <w:r w:rsidR="00644F5A" w:rsidRPr="009D119D">
        <w:rPr>
          <w:rFonts w:ascii="Century Gothic" w:hAnsi="Century Gothic" w:cs="Arial"/>
          <w:sz w:val="20"/>
          <w:szCs w:val="20"/>
        </w:rPr>
        <w:t>Trust</w:t>
      </w:r>
      <w:r w:rsidRPr="009D119D">
        <w:rPr>
          <w:rFonts w:ascii="Century Gothic" w:hAnsi="Century Gothic" w:cs="Arial"/>
          <w:sz w:val="20"/>
          <w:szCs w:val="20"/>
        </w:rPr>
        <w:t xml:space="preserve"> cannot be appointed as Members.</w:t>
      </w:r>
    </w:p>
    <w:p w14:paraId="3F96925B" w14:textId="77777777" w:rsidR="00AE30D1" w:rsidRPr="009D119D" w:rsidRDefault="00AE30D1" w:rsidP="00686180">
      <w:pPr>
        <w:jc w:val="both"/>
        <w:rPr>
          <w:rFonts w:ascii="Century Gothic" w:hAnsi="Century Gothic" w:cs="Arial"/>
          <w:sz w:val="20"/>
          <w:szCs w:val="20"/>
        </w:rPr>
      </w:pPr>
    </w:p>
    <w:p w14:paraId="0E798BFF" w14:textId="706CDE4C" w:rsidR="00AE30D1" w:rsidRPr="009D119D" w:rsidRDefault="00644F5A" w:rsidP="00686180">
      <w:pPr>
        <w:jc w:val="both"/>
        <w:rPr>
          <w:rFonts w:ascii="Century Gothic" w:hAnsi="Century Gothic" w:cs="Arial"/>
          <w:sz w:val="20"/>
          <w:szCs w:val="20"/>
        </w:rPr>
      </w:pPr>
      <w:r w:rsidRPr="009D119D">
        <w:rPr>
          <w:rFonts w:ascii="Century Gothic" w:hAnsi="Century Gothic" w:cs="Arial"/>
          <w:sz w:val="20"/>
          <w:szCs w:val="20"/>
        </w:rPr>
        <w:t>Trust</w:t>
      </w:r>
      <w:r w:rsidR="00AE30D1" w:rsidRPr="009D119D">
        <w:rPr>
          <w:rFonts w:ascii="Century Gothic" w:hAnsi="Century Gothic" w:cs="Arial"/>
          <w:sz w:val="20"/>
          <w:szCs w:val="20"/>
        </w:rPr>
        <w:t xml:space="preserve">ees who have the duty and responsibility in law to conduct the business of the </w:t>
      </w:r>
      <w:r w:rsidRPr="009D119D">
        <w:rPr>
          <w:rFonts w:ascii="Century Gothic" w:hAnsi="Century Gothic" w:cs="Arial"/>
          <w:sz w:val="20"/>
          <w:szCs w:val="20"/>
        </w:rPr>
        <w:t>Trust</w:t>
      </w:r>
      <w:r w:rsidR="00AE30D1" w:rsidRPr="009D119D">
        <w:rPr>
          <w:rFonts w:ascii="Century Gothic" w:hAnsi="Century Gothic" w:cs="Arial"/>
          <w:sz w:val="20"/>
          <w:szCs w:val="20"/>
        </w:rPr>
        <w:t xml:space="preserve"> subject to company and charit</w:t>
      </w:r>
      <w:r w:rsidR="006E770C">
        <w:rPr>
          <w:rFonts w:ascii="Century Gothic" w:hAnsi="Century Gothic" w:cs="Arial"/>
          <w:sz w:val="20"/>
          <w:szCs w:val="20"/>
        </w:rPr>
        <w:t>y law, the Articles of A</w:t>
      </w:r>
      <w:r w:rsidR="00AE30D1" w:rsidRPr="009D119D">
        <w:rPr>
          <w:rFonts w:ascii="Century Gothic" w:hAnsi="Century Gothic" w:cs="Arial"/>
          <w:sz w:val="20"/>
          <w:szCs w:val="20"/>
        </w:rPr>
        <w:t>ssociation and any direction from the Members. Although they can choose to delegate certain powers, they cannot give up these duties to a third party – even to the Members. Members should therefore be ‘eyes on and hands off’, and av</w:t>
      </w:r>
      <w:r w:rsidR="006E770C">
        <w:rPr>
          <w:rFonts w:ascii="Century Gothic" w:hAnsi="Century Gothic" w:cs="Arial"/>
          <w:sz w:val="20"/>
          <w:szCs w:val="20"/>
        </w:rPr>
        <w:t>oid over</w:t>
      </w:r>
      <w:r w:rsidR="00AE30D1" w:rsidRPr="009D119D">
        <w:rPr>
          <w:rFonts w:ascii="Century Gothic" w:hAnsi="Century Gothic" w:cs="Arial"/>
          <w:sz w:val="20"/>
          <w:szCs w:val="20"/>
        </w:rPr>
        <w:t xml:space="preserve">stepping their powers or undermining the boards’ discretion in exercising its responsibilities. In general, Members would not be </w:t>
      </w:r>
      <w:r w:rsidR="00AE30D1" w:rsidRPr="009D119D">
        <w:rPr>
          <w:rFonts w:ascii="Century Gothic" w:hAnsi="Century Gothic" w:cs="Arial"/>
          <w:sz w:val="20"/>
          <w:szCs w:val="20"/>
        </w:rPr>
        <w:lastRenderedPageBreak/>
        <w:t xml:space="preserve">expected to attend board meetings, sit on executive leaders’ performance review panels, or even contribute to specific decisions in relation to the </w:t>
      </w:r>
      <w:r w:rsidRPr="009D119D">
        <w:rPr>
          <w:rFonts w:ascii="Century Gothic" w:hAnsi="Century Gothic" w:cs="Arial"/>
          <w:sz w:val="20"/>
          <w:szCs w:val="20"/>
        </w:rPr>
        <w:t>Trust</w:t>
      </w:r>
      <w:r w:rsidR="00AE30D1" w:rsidRPr="009D119D">
        <w:rPr>
          <w:rFonts w:ascii="Century Gothic" w:hAnsi="Century Gothic" w:cs="Arial"/>
          <w:sz w:val="20"/>
          <w:szCs w:val="20"/>
        </w:rPr>
        <w:t>s’ business.</w:t>
      </w:r>
    </w:p>
    <w:p w14:paraId="67FC6E6E" w14:textId="77777777" w:rsidR="00AE30D1" w:rsidRPr="009D119D" w:rsidRDefault="00AE30D1" w:rsidP="00686180">
      <w:pPr>
        <w:jc w:val="both"/>
        <w:rPr>
          <w:rFonts w:ascii="Century Gothic" w:hAnsi="Century Gothic" w:cs="Arial"/>
          <w:sz w:val="20"/>
          <w:szCs w:val="20"/>
        </w:rPr>
      </w:pPr>
    </w:p>
    <w:p w14:paraId="794B2F8F" w14:textId="77777777" w:rsidR="00773996" w:rsidRPr="009D119D" w:rsidRDefault="00773996" w:rsidP="009D119D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  <w:r w:rsidRPr="009D119D">
        <w:rPr>
          <w:rFonts w:ascii="Century Gothic" w:hAnsi="Century Gothic" w:cs="Arial"/>
          <w:b/>
          <w:sz w:val="20"/>
          <w:szCs w:val="20"/>
        </w:rPr>
        <w:t>This document will be reviewed annually.</w:t>
      </w:r>
    </w:p>
    <w:sectPr w:rsidR="00773996" w:rsidRPr="009D119D" w:rsidSect="00686180">
      <w:headerReference w:type="default" r:id="rId7"/>
      <w:footerReference w:type="default" r:id="rId8"/>
      <w:pgSz w:w="11900" w:h="16840"/>
      <w:pgMar w:top="1440" w:right="1410" w:bottom="144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FFFE3" w14:textId="77777777" w:rsidR="00570289" w:rsidRDefault="00570289" w:rsidP="00411C50">
      <w:r>
        <w:separator/>
      </w:r>
    </w:p>
  </w:endnote>
  <w:endnote w:type="continuationSeparator" w:id="0">
    <w:p w14:paraId="3CC3D511" w14:textId="77777777" w:rsidR="00570289" w:rsidRDefault="00570289" w:rsidP="0041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12EDD" w14:textId="37A13BD5" w:rsidR="00411C50" w:rsidRPr="00013819" w:rsidRDefault="006E770C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 w:cs="Arial"/>
        <w:sz w:val="16"/>
        <w:szCs w:val="16"/>
      </w:rPr>
      <w:t>The Role of a Member at ELT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4986C" w14:textId="77777777" w:rsidR="00570289" w:rsidRDefault="00570289" w:rsidP="00411C50">
      <w:r>
        <w:separator/>
      </w:r>
    </w:p>
  </w:footnote>
  <w:footnote w:type="continuationSeparator" w:id="0">
    <w:p w14:paraId="40543E7C" w14:textId="77777777" w:rsidR="00570289" w:rsidRDefault="00570289" w:rsidP="0041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BDD41" w14:textId="1595B10B" w:rsidR="00411C50" w:rsidRDefault="00686180" w:rsidP="00686180">
    <w:pPr>
      <w:pStyle w:val="Header"/>
    </w:pPr>
    <w:r>
      <w:rPr>
        <w:noProof/>
        <w:lang w:val="en-GB" w:eastAsia="en-GB"/>
      </w:rPr>
      <w:drawing>
        <wp:inline distT="0" distB="0" distL="0" distR="0" wp14:anchorId="6461FDCC" wp14:editId="1E5254A7">
          <wp:extent cx="1823559" cy="708660"/>
          <wp:effectExtent l="0" t="0" r="571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 Logo BIG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494" cy="71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4DC"/>
    <w:multiLevelType w:val="hybridMultilevel"/>
    <w:tmpl w:val="F8B002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E4446"/>
    <w:multiLevelType w:val="hybridMultilevel"/>
    <w:tmpl w:val="006EEC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4132A"/>
    <w:multiLevelType w:val="hybridMultilevel"/>
    <w:tmpl w:val="DFDA51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55049"/>
    <w:multiLevelType w:val="hybridMultilevel"/>
    <w:tmpl w:val="950C5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B1"/>
    <w:rsid w:val="00013819"/>
    <w:rsid w:val="00082335"/>
    <w:rsid w:val="000C27B1"/>
    <w:rsid w:val="001F3CC5"/>
    <w:rsid w:val="00243805"/>
    <w:rsid w:val="0034501E"/>
    <w:rsid w:val="0038703C"/>
    <w:rsid w:val="00395551"/>
    <w:rsid w:val="003B5581"/>
    <w:rsid w:val="003D340B"/>
    <w:rsid w:val="00411C50"/>
    <w:rsid w:val="004C1DEF"/>
    <w:rsid w:val="00570289"/>
    <w:rsid w:val="00644F5A"/>
    <w:rsid w:val="006665C4"/>
    <w:rsid w:val="00686180"/>
    <w:rsid w:val="006933F3"/>
    <w:rsid w:val="006D39A8"/>
    <w:rsid w:val="006E770C"/>
    <w:rsid w:val="006E7B07"/>
    <w:rsid w:val="006F7AD9"/>
    <w:rsid w:val="00773996"/>
    <w:rsid w:val="00904C33"/>
    <w:rsid w:val="009104BC"/>
    <w:rsid w:val="009302B8"/>
    <w:rsid w:val="009D119D"/>
    <w:rsid w:val="00A400E3"/>
    <w:rsid w:val="00A756B6"/>
    <w:rsid w:val="00AE30D1"/>
    <w:rsid w:val="00B63669"/>
    <w:rsid w:val="00BA1BE0"/>
    <w:rsid w:val="00C46520"/>
    <w:rsid w:val="00C93607"/>
    <w:rsid w:val="00E13BCC"/>
    <w:rsid w:val="00F27FEC"/>
    <w:rsid w:val="00F41612"/>
    <w:rsid w:val="00F516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3E7B8A"/>
  <w15:docId w15:val="{59CBD7AB-BFF9-48BB-AC3A-38752395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3D340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43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8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438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11C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11C50"/>
  </w:style>
  <w:style w:type="paragraph" w:styleId="Footer">
    <w:name w:val="footer"/>
    <w:basedOn w:val="Normal"/>
    <w:link w:val="FooterChar"/>
    <w:uiPriority w:val="99"/>
    <w:unhideWhenUsed/>
    <w:rsid w:val="00411C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C50"/>
  </w:style>
  <w:style w:type="character" w:styleId="CommentReference">
    <w:name w:val="annotation reference"/>
    <w:basedOn w:val="DefaultParagraphFont"/>
    <w:semiHidden/>
    <w:unhideWhenUsed/>
    <w:rsid w:val="006E7B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7B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7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7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7B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Meg Wire Ltd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Foster</dc:creator>
  <cp:lastModifiedBy>Tracey Payton</cp:lastModifiedBy>
  <cp:revision>2</cp:revision>
  <cp:lastPrinted>2017-02-03T12:50:00Z</cp:lastPrinted>
  <dcterms:created xsi:type="dcterms:W3CDTF">2024-07-08T13:43:00Z</dcterms:created>
  <dcterms:modified xsi:type="dcterms:W3CDTF">2024-07-08T13:43:00Z</dcterms:modified>
</cp:coreProperties>
</file>